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04C3D" w:rsidRPr="00BA53E2" w:rsidRDefault="0002452B" w:rsidP="0002452B">
      <w:pPr>
        <w:pStyle w:val="a5"/>
        <w:tabs>
          <w:tab w:val="center" w:pos="4677"/>
          <w:tab w:val="right" w:pos="9355"/>
        </w:tabs>
        <w:rPr>
          <w:sz w:val="20"/>
          <w:szCs w:val="20"/>
        </w:rPr>
      </w:pPr>
      <w:r>
        <w:rPr>
          <w:b/>
          <w:sz w:val="32"/>
          <w:szCs w:val="32"/>
        </w:rPr>
        <w:t xml:space="preserve">                                                    </w:t>
      </w:r>
      <w:r w:rsidR="00E1272E" w:rsidRPr="00F34BF1">
        <w:rPr>
          <w:b/>
          <w:sz w:val="32"/>
          <w:szCs w:val="32"/>
        </w:rPr>
        <w:t>Анкетирование</w:t>
      </w:r>
      <w:r w:rsidR="00BA53E2">
        <w:rPr>
          <w:b/>
          <w:sz w:val="32"/>
          <w:szCs w:val="32"/>
        </w:rPr>
        <w:t xml:space="preserve"> учащихся 10</w:t>
      </w:r>
      <w:r w:rsidR="00BA53E2" w:rsidRPr="00BA53E2">
        <w:rPr>
          <w:b/>
          <w:sz w:val="32"/>
          <w:szCs w:val="32"/>
          <w:u w:val="single"/>
          <w:vertAlign w:val="superscript"/>
        </w:rPr>
        <w:t>х</w:t>
      </w:r>
      <w:r w:rsidR="00BA53E2">
        <w:rPr>
          <w:b/>
          <w:sz w:val="32"/>
          <w:szCs w:val="32"/>
        </w:rPr>
        <w:t xml:space="preserve"> классов.</w:t>
      </w:r>
      <w:r w:rsidR="00BA53E2">
        <w:rPr>
          <w:b/>
          <w:sz w:val="32"/>
          <w:szCs w:val="32"/>
        </w:rPr>
        <w:tab/>
      </w:r>
      <w:r>
        <w:rPr>
          <w:b/>
          <w:sz w:val="32"/>
          <w:szCs w:val="32"/>
        </w:rPr>
        <w:t xml:space="preserve">                                                           </w:t>
      </w:r>
      <w:r w:rsidR="00BA53E2" w:rsidRPr="00BA53E2">
        <w:rPr>
          <w:sz w:val="20"/>
          <w:szCs w:val="20"/>
        </w:rPr>
        <w:t>Приложение №1</w:t>
      </w:r>
    </w:p>
    <w:p w:rsidR="00E1272E" w:rsidRPr="00E1272E" w:rsidRDefault="00E1272E" w:rsidP="0002452B">
      <w:pPr>
        <w:ind w:left="-284" w:right="-28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400425" cy="28098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443B49">
        <w:rPr>
          <w:noProof/>
          <w:sz w:val="28"/>
          <w:szCs w:val="28"/>
          <w:lang w:eastAsia="ru-RU"/>
        </w:rPr>
        <w:drawing>
          <wp:inline distT="0" distB="0" distL="0" distR="0">
            <wp:extent cx="3009900" cy="2809875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443B49">
        <w:rPr>
          <w:noProof/>
          <w:sz w:val="28"/>
          <w:szCs w:val="28"/>
          <w:lang w:eastAsia="ru-RU"/>
        </w:rPr>
        <w:drawing>
          <wp:inline distT="0" distB="0" distL="0" distR="0">
            <wp:extent cx="3057525" cy="280987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F34BF1">
        <w:rPr>
          <w:noProof/>
          <w:sz w:val="28"/>
          <w:szCs w:val="28"/>
          <w:lang w:eastAsia="ru-RU"/>
        </w:rPr>
        <w:drawing>
          <wp:inline distT="0" distB="0" distL="0" distR="0">
            <wp:extent cx="30099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B77FA8">
        <w:rPr>
          <w:noProof/>
          <w:sz w:val="28"/>
          <w:szCs w:val="28"/>
          <w:lang w:eastAsia="ru-RU"/>
        </w:rPr>
        <w:drawing>
          <wp:inline distT="0" distB="0" distL="0" distR="0">
            <wp:extent cx="3429000" cy="320040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B77FA8">
        <w:rPr>
          <w:noProof/>
          <w:sz w:val="28"/>
          <w:szCs w:val="28"/>
          <w:lang w:eastAsia="ru-RU"/>
        </w:rPr>
        <w:drawing>
          <wp:inline distT="0" distB="0" distL="0" distR="0">
            <wp:extent cx="29718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E1272E" w:rsidRPr="00E1272E" w:rsidSect="0002452B">
      <w:pgSz w:w="16838" w:h="11906" w:orient="landscape"/>
      <w:pgMar w:top="1135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272E"/>
    <w:rsid w:val="0002452B"/>
    <w:rsid w:val="000C3BA2"/>
    <w:rsid w:val="003F51A8"/>
    <w:rsid w:val="00443B49"/>
    <w:rsid w:val="00504C3D"/>
    <w:rsid w:val="008635C9"/>
    <w:rsid w:val="00B77FA8"/>
    <w:rsid w:val="00BA53E2"/>
    <w:rsid w:val="00E1272E"/>
    <w:rsid w:val="00F3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72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34B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1.Как часто вы употребляете продукты быстрого приготовления?</a:t>
            </a:r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 часто вы употребляете продукты быстрого приготовления?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Редко</c:v>
                </c:pt>
                <c:pt idx="1">
                  <c:v>Часто</c:v>
                </c:pt>
                <c:pt idx="2">
                  <c:v>Не употребляют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</c:v>
                </c:pt>
                <c:pt idx="1">
                  <c:v>83.7</c:v>
                </c:pt>
                <c:pt idx="2">
                  <c:v>6.3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r"/>
      <c:txPr>
        <a:bodyPr/>
        <a:lstStyle/>
        <a:p>
          <a:pPr>
            <a:defRPr sz="1000" b="1"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2. Почему вы их употребляете?</a:t>
            </a:r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2. Почему вы их употребляете?</c:v>
                </c:pt>
              </c:strCache>
            </c:strRef>
          </c:tx>
          <c:explosion val="25"/>
          <c:dLbls>
            <c:txPr>
              <a:bodyPr/>
              <a:lstStyle/>
              <a:p>
                <a:pPr>
                  <a:defRPr sz="1400"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Не хватает времени</c:v>
                </c:pt>
                <c:pt idx="1">
                  <c:v>Вкусно</c:v>
                </c:pt>
                <c:pt idx="2">
                  <c:v>Не знают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64.3</c:v>
                </c:pt>
                <c:pt idx="1">
                  <c:v>21.4</c:v>
                </c:pt>
                <c:pt idx="2">
                  <c:v>14.3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r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/>
              <a:t>3.Знаете ли вы о вреде таких продуктов?</a:t>
            </a:r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Знаете ли вы о вреде таких продуктов?</c:v>
                </c:pt>
              </c:strCache>
            </c:strRef>
          </c:tx>
          <c:explosion val="25"/>
          <c:dLbls>
            <c:txPr>
              <a:bodyPr/>
              <a:lstStyle/>
              <a:p>
                <a:pPr>
                  <a:defRPr sz="1400"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Знают</c:v>
                </c:pt>
                <c:pt idx="1">
                  <c:v>Не знают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78.599999999999994</c:v>
                </c:pt>
                <c:pt idx="1">
                  <c:v>21.4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r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400"/>
          </a:pPr>
          <a:endParaRPr lang="ru-RU"/>
        </a:p>
      </c:txPr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4. Используют ли в пищу продукты быстрого приготовления ваши родители?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Редко</c:v>
                </c:pt>
                <c:pt idx="1">
                  <c:v> 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64.3</c:v>
                </c:pt>
                <c:pt idx="1">
                  <c:v>35.700000000000003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r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400"/>
          </a:pPr>
          <a:endParaRPr lang="ru-RU"/>
        </a:p>
      </c:txPr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5. При покупке продуктов вы обращаете внимание на состав продукта, находящегося на упаковке?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Нет</c:v>
                </c:pt>
                <c:pt idx="1">
                  <c:v>Да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r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11647419072615936"/>
          <c:y val="1.5873015873015879E-2"/>
        </c:manualLayout>
      </c:layout>
      <c:txPr>
        <a:bodyPr/>
        <a:lstStyle/>
        <a:p>
          <a:pPr>
            <a:defRPr sz="1400"/>
          </a:pPr>
          <a:endParaRPr lang="ru-RU"/>
        </a:p>
      </c:txPr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6. Вы знаете, какие пищевые добавки опасны для организма?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19</c:v>
                </c:pt>
                <c:pt idx="1">
                  <c:v>81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r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043D3-9386-4AED-9BF8-F8DE67EB7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5</cp:revision>
  <cp:lastPrinted>2009-12-02T22:56:00Z</cp:lastPrinted>
  <dcterms:created xsi:type="dcterms:W3CDTF">2009-12-02T21:52:00Z</dcterms:created>
  <dcterms:modified xsi:type="dcterms:W3CDTF">2009-12-02T22:57:00Z</dcterms:modified>
</cp:coreProperties>
</file>